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EB32" w14:textId="77777777" w:rsidR="00260F82" w:rsidRPr="006105B9" w:rsidRDefault="00260F82" w:rsidP="00260F82">
      <w:pPr>
        <w:jc w:val="center"/>
        <w:rPr>
          <w:rFonts w:ascii="Sylfaen" w:hAnsi="Sylfaen" w:cs="Arial"/>
          <w:b/>
          <w:lang w:val="ka-GE"/>
        </w:rPr>
      </w:pPr>
      <w:r w:rsidRPr="006105B9">
        <w:rPr>
          <w:rFonts w:ascii="Sylfaen" w:hAnsi="Sylfaen" w:cs="Arial"/>
          <w:b/>
          <w:lang w:val="ka-GE"/>
        </w:rPr>
        <w:t>პროფესიული საგანმანათლებლო პროგრამის ჩარჩო დოკუმენტი</w:t>
      </w:r>
    </w:p>
    <w:p w14:paraId="74DE9EB9" w14:textId="77777777" w:rsidR="00260F82" w:rsidRPr="006105B9" w:rsidRDefault="00260F82" w:rsidP="00260F82">
      <w:pPr>
        <w:pStyle w:val="ListParagraph"/>
        <w:ind w:left="0"/>
        <w:jc w:val="both"/>
        <w:rPr>
          <w:rFonts w:ascii="Sylfaen" w:hAnsi="Sylfaen" w:cs="Sylfaen"/>
          <w:b/>
          <w:lang w:val="ka-GE"/>
        </w:rPr>
      </w:pPr>
    </w:p>
    <w:p w14:paraId="1B7C1CF0" w14:textId="1DA39683" w:rsidR="00260F82" w:rsidRPr="006105B9" w:rsidRDefault="000124DD" w:rsidP="00260F82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lang w:val="ka-GE"/>
        </w:rPr>
      </w:pPr>
      <w:r w:rsidRPr="006105B9">
        <w:rPr>
          <w:rFonts w:ascii="Sylfaen" w:hAnsi="Sylfaen" w:cs="Sylfaen"/>
          <w:b/>
          <w:lang w:val="ka-GE"/>
        </w:rPr>
        <w:t xml:space="preserve">ჩარჩო დოკუმენტის </w:t>
      </w:r>
      <w:r w:rsidR="00260F82" w:rsidRPr="006105B9">
        <w:rPr>
          <w:rFonts w:ascii="Sylfaen" w:hAnsi="Sylfaen" w:cs="Sylfaen"/>
          <w:b/>
          <w:lang w:val="ka-GE"/>
        </w:rPr>
        <w:t>ს</w:t>
      </w:r>
      <w:r w:rsidR="006105B9">
        <w:rPr>
          <w:rFonts w:ascii="Sylfaen" w:hAnsi="Sylfaen" w:cs="Sylfaen"/>
          <w:b/>
          <w:lang w:val="ka-GE"/>
        </w:rPr>
        <w:t>ახელწოდება ქართულ და ინგლისურ ენაზე</w:t>
      </w:r>
    </w:p>
    <w:p w14:paraId="07FD8AFE" w14:textId="77777777" w:rsidR="00596325" w:rsidRPr="006105B9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/>
          <w:b/>
          <w:color w:val="000000" w:themeColor="text1"/>
          <w:lang w:val="ka-GE"/>
        </w:rPr>
        <w:t xml:space="preserve">სარეგისტრაციო ნომერი  </w:t>
      </w:r>
    </w:p>
    <w:p w14:paraId="5A9043EA" w14:textId="27D1EF77" w:rsidR="00596325" w:rsidRPr="006105B9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b/>
          <w:lang w:val="ka-GE"/>
        </w:rPr>
        <w:t>მისანიჭებელი კვალიფიკაცია/კვალიფიკაციები</w:t>
      </w:r>
      <w:r w:rsidR="006105B9">
        <w:rPr>
          <w:rFonts w:ascii="Sylfaen" w:hAnsi="Sylfaen" w:cs="Sylfaen"/>
          <w:b/>
          <w:lang w:val="ka-GE"/>
        </w:rPr>
        <w:t xml:space="preserve"> ქართულ და ინგლისურ ენაზე</w:t>
      </w:r>
    </w:p>
    <w:p w14:paraId="496EE033" w14:textId="77777777" w:rsidR="00596325" w:rsidRPr="006105B9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b/>
          <w:lang w:val="ka-GE"/>
        </w:rPr>
        <w:t>მიზანი</w:t>
      </w:r>
    </w:p>
    <w:p w14:paraId="3A9EE936" w14:textId="77777777" w:rsidR="00596325" w:rsidRPr="006105B9" w:rsidRDefault="00596325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b/>
          <w:lang w:val="ka-GE"/>
        </w:rPr>
      </w:pPr>
      <w:r w:rsidRPr="006105B9">
        <w:rPr>
          <w:rFonts w:ascii="Sylfaen" w:hAnsi="Sylfaen" w:cs="Sylfaen"/>
          <w:b/>
          <w:lang w:val="ka-GE"/>
        </w:rPr>
        <w:t>დაშვების წინაპირობა/წინაპირობები</w:t>
      </w:r>
    </w:p>
    <w:p w14:paraId="367D2BCB" w14:textId="2F295FC8" w:rsidR="00596325" w:rsidRPr="006105B9" w:rsidRDefault="006105B9" w:rsidP="00596325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დასაქმების შესაძლებლობები</w:t>
      </w:r>
    </w:p>
    <w:p w14:paraId="563BD29D" w14:textId="42FE04C2" w:rsidR="00E4190D" w:rsidRPr="006105B9" w:rsidRDefault="00260F82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 w:rsidRPr="006105B9">
        <w:rPr>
          <w:rFonts w:ascii="Sylfaen" w:hAnsi="Sylfaen" w:cs="Sylfaen"/>
          <w:b/>
          <w:lang w:val="ka-GE"/>
        </w:rPr>
        <w:t xml:space="preserve">სტრუქტურა </w:t>
      </w:r>
      <w:r w:rsidR="00060602" w:rsidRPr="006105B9">
        <w:rPr>
          <w:rFonts w:ascii="Sylfaen" w:hAnsi="Sylfaen" w:cs="Sylfaen"/>
          <w:b/>
          <w:lang w:val="ka-GE"/>
        </w:rPr>
        <w:t>და მოდულები</w:t>
      </w:r>
      <w:r w:rsidR="00745225" w:rsidRPr="006105B9">
        <w:rPr>
          <w:rFonts w:ascii="Sylfaen" w:hAnsi="Sylfaen" w:cs="Sylfaen"/>
          <w:b/>
          <w:lang w:val="ka-GE"/>
        </w:rPr>
        <w:t xml:space="preserve"> </w:t>
      </w:r>
    </w:p>
    <w:p w14:paraId="0417375E" w14:textId="0313DA72" w:rsidR="005C6BE0" w:rsidRPr="006105B9" w:rsidRDefault="00596325" w:rsidP="00E4190D">
      <w:pPr>
        <w:pStyle w:val="ListParagraph"/>
        <w:numPr>
          <w:ilvl w:val="0"/>
          <w:numId w:val="3"/>
        </w:numPr>
        <w:ind w:left="360" w:firstLine="0"/>
        <w:jc w:val="both"/>
        <w:rPr>
          <w:rFonts w:ascii="Sylfaen" w:hAnsi="Sylfaen"/>
          <w:b/>
          <w:lang w:val="ka-GE"/>
        </w:rPr>
      </w:pPr>
      <w:r w:rsidRPr="006105B9">
        <w:rPr>
          <w:rFonts w:ascii="Sylfaen" w:hAnsi="Sylfaen"/>
          <w:b/>
          <w:lang w:val="ka-GE"/>
        </w:rPr>
        <w:t xml:space="preserve">მისანიჭებელი კვალიფიკაციის/კვალიფიკაციების </w:t>
      </w:r>
      <w:r w:rsidR="00A173C0">
        <w:rPr>
          <w:rFonts w:ascii="Sylfaen" w:hAnsi="Sylfaen"/>
          <w:b/>
          <w:lang w:val="ka-GE"/>
        </w:rPr>
        <w:t>შესაბამისი</w:t>
      </w:r>
      <w:r w:rsidR="00D023A8" w:rsidRPr="006105B9">
        <w:rPr>
          <w:rFonts w:ascii="Sylfaen" w:hAnsi="Sylfaen"/>
          <w:b/>
          <w:lang w:val="ka-GE"/>
        </w:rPr>
        <w:t xml:space="preserve"> </w:t>
      </w:r>
      <w:r w:rsidR="00C66F84" w:rsidRPr="006105B9">
        <w:rPr>
          <w:rFonts w:ascii="Sylfaen" w:hAnsi="Sylfaen"/>
          <w:b/>
          <w:lang w:val="ka-GE"/>
        </w:rPr>
        <w:t>სწავლის შედეგები</w:t>
      </w:r>
      <w:r w:rsidR="00480AB2" w:rsidRPr="006105B9">
        <w:rPr>
          <w:rFonts w:ascii="Sylfaen" w:hAnsi="Sylfaen"/>
          <w:b/>
          <w:lang w:val="ka-GE"/>
        </w:rPr>
        <w:t xml:space="preserve"> </w:t>
      </w:r>
    </w:p>
    <w:p w14:paraId="6367C177" w14:textId="6B33D96F" w:rsidR="00261F93" w:rsidRPr="006105B9" w:rsidRDefault="00D41495" w:rsidP="00E4190D">
      <w:pPr>
        <w:pStyle w:val="ListParagraph"/>
        <w:ind w:left="360"/>
        <w:jc w:val="both"/>
        <w:rPr>
          <w:rFonts w:ascii="Sylfaen" w:hAnsi="Sylfaen" w:cs="Arial"/>
          <w:b/>
          <w:lang w:val="ka-GE"/>
        </w:rPr>
      </w:pPr>
      <w:r w:rsidRPr="006105B9">
        <w:rPr>
          <w:rFonts w:ascii="Sylfaen" w:hAnsi="Sylfaen" w:cs="Arial"/>
          <w:b/>
          <w:lang w:val="ka-GE"/>
        </w:rPr>
        <w:t>9</w:t>
      </w:r>
      <w:r w:rsidR="005C6BE0" w:rsidRPr="006105B9">
        <w:rPr>
          <w:rFonts w:ascii="Sylfaen" w:hAnsi="Sylfaen" w:cs="Arial"/>
          <w:b/>
          <w:lang w:val="ka-GE"/>
        </w:rPr>
        <w:t xml:space="preserve">. </w:t>
      </w:r>
      <w:r w:rsidR="007A4B6C" w:rsidRPr="006105B9">
        <w:rPr>
          <w:rFonts w:ascii="Sylfaen" w:hAnsi="Sylfaen" w:cs="Arial"/>
          <w:b/>
          <w:lang w:val="ka-GE"/>
        </w:rPr>
        <w:t xml:space="preserve"> </w:t>
      </w:r>
      <w:r w:rsidR="005C709C" w:rsidRPr="006105B9">
        <w:rPr>
          <w:rFonts w:ascii="Sylfaen" w:hAnsi="Sylfaen" w:cs="Arial"/>
          <w:b/>
          <w:lang w:val="ka-GE"/>
        </w:rPr>
        <w:t xml:space="preserve"> </w:t>
      </w:r>
      <w:r w:rsidR="00261F93" w:rsidRPr="006105B9">
        <w:rPr>
          <w:rFonts w:ascii="Sylfaen" w:hAnsi="Sylfaen" w:cs="Arial"/>
          <w:b/>
          <w:lang w:val="ka-GE"/>
        </w:rPr>
        <w:t>ჩარჩო დოკუმენტის საფუძველზე პროფესიული საგანმანათლებლო პროგრამის შემუშავება</w:t>
      </w:r>
    </w:p>
    <w:p w14:paraId="7E161C47" w14:textId="77777777" w:rsidR="00D023A8" w:rsidRPr="006105B9" w:rsidRDefault="00D023A8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lang w:val="ka-GE"/>
        </w:rPr>
      </w:pPr>
    </w:p>
    <w:p w14:paraId="06BA9555" w14:textId="5ABE4E63" w:rsidR="005C6BE0" w:rsidRPr="006105B9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lang w:val="ka-GE"/>
        </w:rPr>
      </w:pPr>
      <w:r w:rsidRPr="006105B9">
        <w:rPr>
          <w:rFonts w:ascii="Sylfaen" w:hAnsi="Sylfaen" w:cs="Arial"/>
          <w:lang w:val="ka-GE"/>
        </w:rPr>
        <w:t xml:space="preserve">საგანმანათლებლო დაწესებულება ჩარჩო დოკუმენტის საფუძველზე </w:t>
      </w:r>
      <w:r w:rsidR="005C6BE0" w:rsidRPr="006105B9">
        <w:rPr>
          <w:rFonts w:ascii="Sylfaen" w:hAnsi="Sylfaen" w:cs="Arial"/>
          <w:lang w:val="ka-GE"/>
        </w:rPr>
        <w:t xml:space="preserve">შეიმუშავებს </w:t>
      </w:r>
      <w:r w:rsidRPr="006105B9">
        <w:rPr>
          <w:rFonts w:ascii="Sylfaen" w:hAnsi="Sylfaen" w:cs="Arial"/>
          <w:lang w:val="ka-GE"/>
        </w:rPr>
        <w:t>პროფ</w:t>
      </w:r>
      <w:r w:rsidR="005C6BE0" w:rsidRPr="006105B9">
        <w:rPr>
          <w:rFonts w:ascii="Sylfaen" w:hAnsi="Sylfaen" w:cs="Arial"/>
          <w:lang w:val="ka-GE"/>
        </w:rPr>
        <w:t xml:space="preserve">ესიულ საგანმანათლებლო პროგრამას. </w:t>
      </w:r>
    </w:p>
    <w:p w14:paraId="24A1F011" w14:textId="77777777" w:rsidR="005C6BE0" w:rsidRPr="006105B9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  <w:lang w:val="ka-GE"/>
        </w:rPr>
      </w:pPr>
    </w:p>
    <w:p w14:paraId="3A850A76" w14:textId="1F5A7D67" w:rsidR="00261F93" w:rsidRPr="006105B9" w:rsidRDefault="00261F93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lang w:val="ka-GE"/>
        </w:rPr>
        <w:t xml:space="preserve">შემუშავებული პროფესიული საგანმანათლებლო პროგრამა </w:t>
      </w:r>
      <w:r w:rsidR="005C6BE0" w:rsidRPr="006105B9">
        <w:rPr>
          <w:rFonts w:ascii="Sylfaen" w:hAnsi="Sylfaen" w:cs="Sylfaen"/>
          <w:lang w:val="ka-GE"/>
        </w:rPr>
        <w:t>შესაძლებელია</w:t>
      </w:r>
      <w:r w:rsidRPr="006105B9">
        <w:rPr>
          <w:rFonts w:ascii="Sylfaen" w:hAnsi="Sylfaen" w:cs="Sylfaen"/>
          <w:lang w:val="ka-GE"/>
        </w:rPr>
        <w:t xml:space="preserve"> ითვალისწინებდეს არჩევითი სტატუსის მოდულებს  ამავე პროფესიული პროგრამის მოდულების კრედიტთა საე</w:t>
      </w:r>
      <w:r w:rsidR="005C6BE0" w:rsidRPr="006105B9">
        <w:rPr>
          <w:rFonts w:ascii="Sylfaen" w:hAnsi="Sylfaen" w:cs="Sylfaen"/>
          <w:lang w:val="ka-GE"/>
        </w:rPr>
        <w:t>რთო მოცულობის არაუმეტეს 20 %-სა.</w:t>
      </w:r>
    </w:p>
    <w:p w14:paraId="1642159E" w14:textId="77777777" w:rsidR="005C6BE0" w:rsidRPr="006105B9" w:rsidRDefault="005C6BE0" w:rsidP="005C709C">
      <w:pPr>
        <w:pStyle w:val="ListParagraph"/>
        <w:tabs>
          <w:tab w:val="left" w:pos="270"/>
        </w:tabs>
        <w:ind w:left="360"/>
        <w:jc w:val="both"/>
        <w:rPr>
          <w:rFonts w:ascii="Sylfaen" w:hAnsi="Sylfaen" w:cs="Sylfaen"/>
          <w:lang w:val="ka-GE"/>
        </w:rPr>
      </w:pPr>
    </w:p>
    <w:p w14:paraId="3FEE2997" w14:textId="043213BF" w:rsidR="005C6BE0" w:rsidRPr="006105B9" w:rsidRDefault="005C709C" w:rsidP="005C709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  <w:r w:rsidRPr="006105B9">
        <w:rPr>
          <w:rFonts w:cs="Arial"/>
          <w:b w:val="0"/>
          <w:sz w:val="22"/>
          <w:szCs w:val="22"/>
          <w:lang w:val="ka-GE"/>
        </w:rPr>
        <w:t>ერთი და იმავე პროფესიულ სპეციალიზაციაზე შესაძლებელია შემუშავდეს ორი სახის საგანმანათლებლო პროგრამა, რომელთაგან ერთი განსაზღვრავს სავალდებულო პროფესიული მოდულებით გათვალისწინებულ</w:t>
      </w:r>
      <w:r w:rsidR="00E95874" w:rsidRPr="006105B9">
        <w:rPr>
          <w:rFonts w:cs="Arial"/>
          <w:b w:val="0"/>
          <w:sz w:val="22"/>
          <w:szCs w:val="22"/>
          <w:lang w:val="ka-GE"/>
        </w:rPr>
        <w:t>ი სწავლის შედეგების</w:t>
      </w:r>
      <w:r w:rsidR="00A75CB1" w:rsidRPr="006105B9">
        <w:rPr>
          <w:rFonts w:cs="Arial"/>
          <w:b w:val="0"/>
          <w:sz w:val="22"/>
          <w:szCs w:val="22"/>
          <w:lang w:val="ka-GE"/>
        </w:rPr>
        <w:t xml:space="preserve"> </w:t>
      </w:r>
      <w:r w:rsidRPr="006105B9">
        <w:rPr>
          <w:rFonts w:cs="Arial"/>
          <w:b w:val="0"/>
          <w:sz w:val="22"/>
          <w:szCs w:val="22"/>
          <w:lang w:val="ka-GE"/>
        </w:rPr>
        <w:t>50%</w:t>
      </w:r>
      <w:r w:rsidR="00D57CD0">
        <w:rPr>
          <w:rFonts w:cs="Arial"/>
          <w:b w:val="0"/>
          <w:sz w:val="22"/>
          <w:szCs w:val="22"/>
          <w:lang w:val="ka-GE"/>
        </w:rPr>
        <w:t>-ის</w:t>
      </w:r>
      <w:r w:rsidRPr="006105B9">
        <w:rPr>
          <w:rFonts w:cs="Arial"/>
          <w:b w:val="0"/>
          <w:sz w:val="22"/>
          <w:szCs w:val="22"/>
          <w:lang w:val="ka-GE"/>
        </w:rPr>
        <w:t xml:space="preserve"> </w:t>
      </w:r>
      <w:r w:rsidR="004248C1">
        <w:rPr>
          <w:rFonts w:cs="Arial"/>
          <w:b w:val="0"/>
          <w:sz w:val="22"/>
          <w:szCs w:val="22"/>
          <w:lang w:val="ka-GE"/>
        </w:rPr>
        <w:t xml:space="preserve">ან </w:t>
      </w:r>
      <w:r w:rsidRPr="006105B9">
        <w:rPr>
          <w:rFonts w:cs="Arial"/>
          <w:b w:val="0"/>
          <w:sz w:val="22"/>
          <w:szCs w:val="22"/>
          <w:lang w:val="ka-GE"/>
        </w:rPr>
        <w:t xml:space="preserve"> მეტის  რეალურ სამუშაო გარემოში მიღწევას.</w:t>
      </w:r>
    </w:p>
    <w:p w14:paraId="55A6E126" w14:textId="77777777" w:rsidR="005C6BE0" w:rsidRPr="006105B9" w:rsidRDefault="005C6BE0" w:rsidP="00E4190D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2"/>
          <w:szCs w:val="22"/>
          <w:lang w:val="ka-GE"/>
        </w:rPr>
      </w:pPr>
    </w:p>
    <w:p w14:paraId="160F5B08" w14:textId="28B91883" w:rsidR="00D41495" w:rsidRPr="006105B9" w:rsidRDefault="00D41495" w:rsidP="00E4190D">
      <w:pPr>
        <w:pStyle w:val="muxlixml"/>
        <w:numPr>
          <w:ilvl w:val="0"/>
          <w:numId w:val="16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2"/>
          <w:szCs w:val="22"/>
          <w:lang w:val="ka-GE"/>
        </w:rPr>
      </w:pPr>
      <w:r w:rsidRPr="006105B9">
        <w:rPr>
          <w:sz w:val="22"/>
          <w:szCs w:val="22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1B0F0E9E" w14:textId="77777777" w:rsidR="00D023A8" w:rsidRPr="006105B9" w:rsidRDefault="00D023A8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</w:p>
    <w:p w14:paraId="28A4734C" w14:textId="565A467A" w:rsidR="005C709C" w:rsidRPr="006105B9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lang w:val="ka-GE"/>
        </w:rPr>
      </w:pPr>
      <w:r w:rsidRPr="006105B9">
        <w:rPr>
          <w:lang w:val="ka-GE"/>
        </w:rPr>
        <w:t>კრედიტი</w:t>
      </w:r>
      <w:r w:rsidR="00E95874" w:rsidRPr="006105B9">
        <w:rPr>
          <w:lang w:val="ka-GE"/>
        </w:rPr>
        <w:t>ს</w:t>
      </w:r>
      <w:r w:rsidRPr="006105B9">
        <w:rPr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 w:rsidRPr="006105B9">
        <w:rPr>
          <w:lang w:val="ka-GE"/>
        </w:rPr>
        <w:t>.</w:t>
      </w:r>
      <w:r w:rsidRPr="006105B9">
        <w:rPr>
          <w:lang w:val="ka-GE"/>
        </w:rPr>
        <w:t xml:space="preserve">  </w:t>
      </w:r>
    </w:p>
    <w:p w14:paraId="47E7F863" w14:textId="77777777" w:rsidR="005C709C" w:rsidRPr="006105B9" w:rsidRDefault="005C709C" w:rsidP="005C70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lang w:val="ka-GE"/>
        </w:rPr>
      </w:pPr>
    </w:p>
    <w:p w14:paraId="2930B646" w14:textId="13C2FC91" w:rsidR="005C709C" w:rsidRDefault="005C709C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lang w:val="ka-GE"/>
        </w:rPr>
      </w:pPr>
      <w:r w:rsidRPr="006105B9">
        <w:rPr>
          <w:lang w:val="ka-GE"/>
        </w:rPr>
        <w:t>სწავლის შედეგის მიღწ</w:t>
      </w:r>
      <w:r w:rsidR="003A50AA" w:rsidRPr="006105B9">
        <w:rPr>
          <w:lang w:val="ka-GE"/>
        </w:rPr>
        <w:t xml:space="preserve">ევის დადასტურება შესაძლებელია: </w:t>
      </w:r>
    </w:p>
    <w:p w14:paraId="079BA788" w14:textId="7D953DD8" w:rsidR="00FE2A4A" w:rsidRPr="006105B9" w:rsidRDefault="00FE2A4A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lang w:val="ka-GE"/>
        </w:rPr>
      </w:pPr>
      <w:r>
        <w:rPr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 (ჩათვლა);</w:t>
      </w:r>
    </w:p>
    <w:p w14:paraId="7CF9B933" w14:textId="0124EABC" w:rsidR="005C709C" w:rsidRPr="006105B9" w:rsidRDefault="00FE2A4A" w:rsidP="007A4B6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70" w:firstLine="0"/>
        <w:rPr>
          <w:bCs/>
          <w:lang w:val="ka-GE"/>
        </w:rPr>
      </w:pPr>
      <w:r>
        <w:rPr>
          <w:bCs/>
          <w:lang w:val="ka-GE"/>
        </w:rPr>
        <w:t>ბ</w:t>
      </w:r>
      <w:r w:rsidR="005C709C" w:rsidRPr="006105B9">
        <w:rPr>
          <w:bCs/>
          <w:lang w:val="ka-GE"/>
        </w:rPr>
        <w:t>) არაფორმალური განათლების გზით მიღწეული სწავლის შედეგების დადასტურება განათლების და მეცნიერების მინისტრის მიერ დადგენილი წესით;</w:t>
      </w:r>
    </w:p>
    <w:p w14:paraId="1342C32E" w14:textId="49288017" w:rsidR="005C709C" w:rsidRPr="006105B9" w:rsidRDefault="00FE2A4A" w:rsidP="007A4B6C">
      <w:pPr>
        <w:spacing w:after="120"/>
        <w:ind w:left="270"/>
        <w:jc w:val="both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bCs/>
          <w:lang w:val="ka-GE"/>
        </w:rPr>
        <w:t>გ</w:t>
      </w:r>
      <w:r w:rsidR="005C709C" w:rsidRPr="006105B9">
        <w:rPr>
          <w:rFonts w:ascii="Sylfaen" w:hAnsi="Sylfaen"/>
          <w:bCs/>
          <w:lang w:val="ka-GE"/>
        </w:rPr>
        <w:t>) სწავლის შედეგების დადასტურება შეფასების გზით.</w:t>
      </w:r>
    </w:p>
    <w:p w14:paraId="05F7DBDF" w14:textId="77777777" w:rsidR="003A50AA" w:rsidRPr="006105B9" w:rsidRDefault="003A50AA" w:rsidP="00DC0E93">
      <w:pPr>
        <w:pStyle w:val="abzacixml"/>
        <w:ind w:left="360" w:firstLine="0"/>
        <w:rPr>
          <w:lang w:val="ka-GE"/>
        </w:rPr>
      </w:pPr>
    </w:p>
    <w:p w14:paraId="398BBDE5" w14:textId="06BEAB8B" w:rsidR="003A50AA" w:rsidRPr="006105B9" w:rsidRDefault="003A50AA" w:rsidP="00DC0E93">
      <w:pPr>
        <w:pStyle w:val="abzacixml"/>
        <w:ind w:left="360" w:firstLine="0"/>
        <w:rPr>
          <w:lang w:val="ka-GE"/>
        </w:rPr>
      </w:pPr>
    </w:p>
    <w:p w14:paraId="15D425E6" w14:textId="77777777" w:rsidR="003A50AA" w:rsidRPr="006105B9" w:rsidRDefault="003A50AA" w:rsidP="00DC0E93">
      <w:pPr>
        <w:pStyle w:val="abzacixml"/>
        <w:ind w:left="360" w:firstLine="0"/>
        <w:rPr>
          <w:lang w:val="ka-GE"/>
        </w:rPr>
      </w:pPr>
    </w:p>
    <w:p w14:paraId="73C70E9C" w14:textId="77777777" w:rsidR="003A50AA" w:rsidRPr="006105B9" w:rsidRDefault="003A50AA" w:rsidP="00DC0E93">
      <w:pPr>
        <w:pStyle w:val="abzacixml"/>
        <w:ind w:left="360" w:firstLine="0"/>
        <w:rPr>
          <w:lang w:val="ka-GE"/>
        </w:rPr>
      </w:pPr>
    </w:p>
    <w:p w14:paraId="44B1A566" w14:textId="1E42D180" w:rsidR="00B774BB" w:rsidRPr="006105B9" w:rsidRDefault="00B774BB" w:rsidP="00DC0E93">
      <w:pPr>
        <w:pStyle w:val="abzacixml"/>
        <w:ind w:left="360" w:firstLine="0"/>
        <w:rPr>
          <w:lang w:val="ka-GE"/>
        </w:rPr>
      </w:pPr>
      <w:r w:rsidRPr="006105B9">
        <w:rPr>
          <w:lang w:val="ka-GE"/>
        </w:rPr>
        <w:t>არსებობს განმავითარებელი და განმსაზღვრელი</w:t>
      </w:r>
      <w:r w:rsidR="00BE61EF" w:rsidRPr="006105B9">
        <w:rPr>
          <w:lang w:val="ka-GE"/>
        </w:rPr>
        <w:t xml:space="preserve"> შეფასება</w:t>
      </w:r>
      <w:r w:rsidRPr="006105B9">
        <w:rPr>
          <w:lang w:val="ka-GE"/>
        </w:rPr>
        <w:t>.</w:t>
      </w:r>
    </w:p>
    <w:p w14:paraId="6E231E3B" w14:textId="0048BAFD" w:rsidR="00B774BB" w:rsidRPr="006105B9" w:rsidRDefault="00B774BB" w:rsidP="00DC0E93">
      <w:pPr>
        <w:pStyle w:val="abzacixml"/>
        <w:ind w:left="360" w:firstLine="0"/>
        <w:rPr>
          <w:lang w:val="ka-GE"/>
        </w:rPr>
      </w:pPr>
      <w:r w:rsidRPr="006105B9">
        <w:rPr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544BB804" w14:textId="3C245DD1" w:rsidR="00B774BB" w:rsidRPr="006105B9" w:rsidRDefault="00B774BB" w:rsidP="00DC0E93">
      <w:pPr>
        <w:pStyle w:val="abzacixml"/>
        <w:ind w:left="360" w:firstLine="0"/>
        <w:rPr>
          <w:lang w:val="ka-GE"/>
        </w:rPr>
      </w:pPr>
      <w:r w:rsidRPr="006105B9">
        <w:rPr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</w:t>
      </w:r>
      <w:r w:rsidR="00D41495" w:rsidRPr="006105B9">
        <w:rPr>
          <w:lang w:val="ka-GE"/>
        </w:rPr>
        <w:t xml:space="preserve"> </w:t>
      </w:r>
      <w:r w:rsidRPr="006105B9">
        <w:rPr>
          <w:lang w:val="ka-GE"/>
        </w:rPr>
        <w:t>სისტემის გამოყენებას და უშვებს შემდეგი ორი ტიპის შეფასებას:</w:t>
      </w:r>
    </w:p>
    <w:p w14:paraId="77DF5195" w14:textId="77777777" w:rsidR="00B774BB" w:rsidRPr="006105B9" w:rsidRDefault="00B774BB" w:rsidP="00E4190D">
      <w:pPr>
        <w:pStyle w:val="abzacixml"/>
        <w:tabs>
          <w:tab w:val="left" w:pos="990"/>
        </w:tabs>
        <w:ind w:left="360" w:firstLine="0"/>
        <w:rPr>
          <w:lang w:val="ka-GE"/>
        </w:rPr>
      </w:pPr>
      <w:r w:rsidRPr="006105B9">
        <w:rPr>
          <w:lang w:val="ka-GE"/>
        </w:rPr>
        <w:t>ა) სწავლის შედეგი დადასტურდა;</w:t>
      </w:r>
    </w:p>
    <w:p w14:paraId="4D49C30E" w14:textId="77777777" w:rsidR="00B774BB" w:rsidRPr="006105B9" w:rsidRDefault="00B774BB" w:rsidP="00E4190D">
      <w:pPr>
        <w:pStyle w:val="abzacixml"/>
        <w:tabs>
          <w:tab w:val="left" w:pos="990"/>
        </w:tabs>
        <w:ind w:left="360" w:firstLine="0"/>
        <w:rPr>
          <w:lang w:val="ka-GE"/>
        </w:rPr>
      </w:pPr>
      <w:r w:rsidRPr="006105B9">
        <w:rPr>
          <w:lang w:val="ka-GE"/>
        </w:rPr>
        <w:t>ბ) სწავლის შედეგი ვერ დადასტურდა.</w:t>
      </w:r>
    </w:p>
    <w:p w14:paraId="1F806D8E" w14:textId="0FA30D58" w:rsidR="00D41495" w:rsidRPr="006105B9" w:rsidRDefault="00B774BB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  <w:r w:rsidRPr="006105B9">
        <w:rPr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D41495" w:rsidRPr="006105B9">
        <w:rPr>
          <w:lang w:val="ka-GE"/>
        </w:rPr>
        <w:t xml:space="preserve"> </w:t>
      </w:r>
      <w:r w:rsidR="00BE61EF" w:rsidRPr="006105B9">
        <w:rPr>
          <w:lang w:val="ka-GE"/>
        </w:rPr>
        <w:t>პროფესიულ სტუდენტს უფლება აქვს</w:t>
      </w:r>
      <w:r w:rsidRPr="006105B9">
        <w:rPr>
          <w:lang w:val="ka-GE"/>
        </w:rPr>
        <w:t xml:space="preserve"> </w:t>
      </w:r>
      <w:r w:rsidR="00BE61EF" w:rsidRPr="006105B9">
        <w:rPr>
          <w:lang w:val="ka-GE"/>
        </w:rPr>
        <w:t xml:space="preserve">პროგრამის დასრულებამდე </w:t>
      </w:r>
      <w:r w:rsidRPr="006105B9">
        <w:rPr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6105B9">
        <w:rPr>
          <w:lang w:val="ka-GE"/>
        </w:rPr>
        <w:t xml:space="preserve"> შეფასების მეთოდი/მეთოდები რეკომენდაციის სახით მოცემულია მოდულებში. </w:t>
      </w:r>
    </w:p>
    <w:p w14:paraId="0A420101" w14:textId="77777777" w:rsidR="00B23EF5" w:rsidRPr="006105B9" w:rsidRDefault="00B23EF5" w:rsidP="00E4190D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lang w:val="ka-GE"/>
        </w:rPr>
      </w:pPr>
    </w:p>
    <w:p w14:paraId="6B3AB192" w14:textId="0DB9FAE6" w:rsidR="00B774BB" w:rsidRPr="006105B9" w:rsidRDefault="00B23EF5" w:rsidP="00DC0E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lang w:val="ka-GE"/>
        </w:rPr>
      </w:pPr>
      <w:r w:rsidRPr="006105B9">
        <w:rPr>
          <w:b/>
          <w:lang w:val="ka-GE"/>
        </w:rPr>
        <w:t>11</w:t>
      </w:r>
      <w:r w:rsidRPr="006105B9">
        <w:rPr>
          <w:lang w:val="ka-GE"/>
        </w:rPr>
        <w:t xml:space="preserve">. </w:t>
      </w:r>
      <w:r w:rsidR="00B774BB" w:rsidRPr="006105B9">
        <w:rPr>
          <w:rFonts w:cs="Arial"/>
          <w:b/>
          <w:lang w:val="ka-GE"/>
        </w:rPr>
        <w:t>პრ</w:t>
      </w:r>
      <w:r w:rsidR="00010BB7" w:rsidRPr="006105B9">
        <w:rPr>
          <w:rFonts w:cs="Arial"/>
          <w:b/>
          <w:lang w:val="ka-GE"/>
        </w:rPr>
        <w:t>ოფესიული კვალიფიკაციის მინიჭება</w:t>
      </w:r>
    </w:p>
    <w:p w14:paraId="349539C4" w14:textId="6258CD1D" w:rsidR="00C4468F" w:rsidRPr="006105B9" w:rsidRDefault="00261F93" w:rsidP="00DC0E93">
      <w:pPr>
        <w:ind w:left="360"/>
        <w:jc w:val="both"/>
        <w:rPr>
          <w:rFonts w:ascii="Sylfaen" w:hAnsi="Sylfaen"/>
          <w:lang w:val="ka-GE"/>
        </w:rPr>
      </w:pPr>
      <w:r w:rsidRPr="006105B9">
        <w:rPr>
          <w:rFonts w:ascii="Sylfaen" w:hAnsi="Sylfaen"/>
          <w:lang w:val="ka-GE"/>
        </w:rPr>
        <w:t>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="000131E8" w:rsidRPr="006105B9">
        <w:rPr>
          <w:rFonts w:ascii="Sylfaen" w:hAnsi="Sylfaen"/>
          <w:lang w:val="ka-GE"/>
        </w:rPr>
        <w:t xml:space="preserve">. </w:t>
      </w:r>
    </w:p>
    <w:p w14:paraId="35643041" w14:textId="08D49973" w:rsidR="005C709C" w:rsidRPr="006105B9" w:rsidRDefault="005C709C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2"/>
          <w:szCs w:val="22"/>
          <w:lang w:val="ka-GE"/>
        </w:rPr>
      </w:pPr>
      <w:r w:rsidRPr="006105B9">
        <w:rPr>
          <w:b w:val="0"/>
          <w:sz w:val="22"/>
          <w:szCs w:val="22"/>
          <w:lang w:val="ka-GE"/>
        </w:rPr>
        <w:t>პროფესიული საგანმანათლებლო პროგრამა, რომელშიც</w:t>
      </w:r>
      <w:r w:rsidRPr="006105B9">
        <w:rPr>
          <w:sz w:val="22"/>
          <w:szCs w:val="22"/>
          <w:lang w:val="ka-GE"/>
        </w:rPr>
        <w:t xml:space="preserve"> </w:t>
      </w:r>
      <w:r w:rsidRPr="006105B9">
        <w:rPr>
          <w:rFonts w:cs="Arial"/>
          <w:b w:val="0"/>
          <w:sz w:val="22"/>
          <w:szCs w:val="22"/>
          <w:lang w:val="ka-GE"/>
        </w:rPr>
        <w:t>სავალდებულო პროფესიული მოდულებით გათვალისწინებულ</w:t>
      </w:r>
      <w:r w:rsidR="00E95874" w:rsidRPr="006105B9">
        <w:rPr>
          <w:rFonts w:cs="Arial"/>
          <w:b w:val="0"/>
          <w:sz w:val="22"/>
          <w:szCs w:val="22"/>
          <w:lang w:val="ka-GE"/>
        </w:rPr>
        <w:t xml:space="preserve">ი სწავლის </w:t>
      </w:r>
      <w:bookmarkStart w:id="0" w:name="_GoBack"/>
      <w:bookmarkEnd w:id="0"/>
      <w:r w:rsidR="00E95874" w:rsidRPr="006105B9">
        <w:rPr>
          <w:rFonts w:cs="Arial"/>
          <w:b w:val="0"/>
          <w:sz w:val="22"/>
          <w:szCs w:val="22"/>
          <w:lang w:val="ka-GE"/>
        </w:rPr>
        <w:t>შედეგების</w:t>
      </w:r>
      <w:r w:rsidR="009A5A18">
        <w:rPr>
          <w:rFonts w:cs="Arial"/>
          <w:b w:val="0"/>
          <w:sz w:val="22"/>
          <w:szCs w:val="22"/>
          <w:lang w:val="ka-GE"/>
        </w:rPr>
        <w:t xml:space="preserve"> 50% ან</w:t>
      </w:r>
      <w:r w:rsidRPr="006105B9">
        <w:rPr>
          <w:rFonts w:cs="Arial"/>
          <w:b w:val="0"/>
          <w:sz w:val="22"/>
          <w:szCs w:val="22"/>
          <w:lang w:val="ka-GE"/>
        </w:rPr>
        <w:t xml:space="preserve">  მეტი</w:t>
      </w:r>
      <w:r w:rsidR="00A75CB1" w:rsidRPr="006105B9">
        <w:rPr>
          <w:rFonts w:cs="Arial"/>
          <w:b w:val="0"/>
          <w:sz w:val="22"/>
          <w:szCs w:val="22"/>
          <w:lang w:val="ka-GE"/>
        </w:rPr>
        <w:t xml:space="preserve"> </w:t>
      </w:r>
      <w:r w:rsidRPr="006105B9">
        <w:rPr>
          <w:rFonts w:cs="Arial"/>
          <w:b w:val="0"/>
          <w:sz w:val="22"/>
          <w:szCs w:val="22"/>
          <w:lang w:val="ka-GE"/>
        </w:rPr>
        <w:t>რეალურ სამუშაო გარემოში</w:t>
      </w:r>
      <w:r w:rsidR="004A49EE" w:rsidRPr="006105B9">
        <w:rPr>
          <w:rFonts w:cs="Arial"/>
          <w:b w:val="0"/>
          <w:sz w:val="22"/>
          <w:szCs w:val="22"/>
          <w:lang w:val="ka-GE"/>
        </w:rPr>
        <w:t xml:space="preserve"> მიიღწევა,</w:t>
      </w:r>
      <w:r w:rsidR="00A75CB1" w:rsidRPr="006105B9">
        <w:rPr>
          <w:rFonts w:cs="Arial"/>
          <w:b w:val="0"/>
          <w:sz w:val="22"/>
          <w:szCs w:val="22"/>
          <w:lang w:val="ka-GE"/>
        </w:rPr>
        <w:t xml:space="preserve"> </w:t>
      </w:r>
      <w:r w:rsidRPr="006105B9">
        <w:rPr>
          <w:rFonts w:cs="Arial"/>
          <w:b w:val="0"/>
          <w:sz w:val="22"/>
          <w:szCs w:val="22"/>
          <w:lang w:val="ka-GE"/>
        </w:rPr>
        <w:t xml:space="preserve">კვალიფიკაციის მინიჭების დამატებითი პირობაა </w:t>
      </w:r>
      <w:r w:rsidRPr="006105B9">
        <w:rPr>
          <w:b w:val="0"/>
          <w:sz w:val="22"/>
          <w:szCs w:val="22"/>
          <w:lang w:val="ka-GE"/>
        </w:rPr>
        <w:t xml:space="preserve">საკვალიფიკაციო გამოცდის ჩაბარება.  </w:t>
      </w:r>
    </w:p>
    <w:p w14:paraId="13455E04" w14:textId="77777777" w:rsidR="00D023A8" w:rsidRPr="006105B9" w:rsidRDefault="00D023A8" w:rsidP="00D023A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2"/>
          <w:szCs w:val="22"/>
          <w:lang w:val="ka-GE"/>
        </w:rPr>
      </w:pPr>
    </w:p>
    <w:p w14:paraId="204CCCCF" w14:textId="7F44F07A" w:rsidR="00135483" w:rsidRPr="006105B9" w:rsidRDefault="00B23EF5" w:rsidP="00DC0E9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6105B9">
        <w:rPr>
          <w:rFonts w:ascii="Sylfaen" w:hAnsi="Sylfaen" w:cs="Arial"/>
          <w:b/>
          <w:sz w:val="22"/>
          <w:szCs w:val="22"/>
          <w:lang w:val="ka-GE"/>
        </w:rPr>
        <w:t xml:space="preserve">12.  </w:t>
      </w:r>
      <w:r w:rsidR="001846AF" w:rsidRPr="006105B9">
        <w:rPr>
          <w:rFonts w:ascii="Sylfaen" w:hAnsi="Sylfaen" w:cs="Arial"/>
          <w:b/>
          <w:sz w:val="22"/>
          <w:szCs w:val="22"/>
          <w:lang w:val="ka-GE"/>
        </w:rPr>
        <w:t>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1A47565F" w14:textId="77777777" w:rsidR="00D023A8" w:rsidRPr="006105B9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r w:rsidRPr="006105B9">
        <w:rPr>
          <w:rFonts w:ascii="Sylfaen" w:hAnsi="Sylfaen" w:cs="Sylfaen"/>
          <w:sz w:val="22"/>
          <w:szCs w:val="22"/>
          <w:lang w:val="ka-GE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13AC9682" w14:textId="3DC93242" w:rsidR="001846AF" w:rsidRPr="006105B9" w:rsidRDefault="005C709C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  <w:r w:rsidRPr="006105B9">
        <w:rPr>
          <w:rFonts w:ascii="Sylfaen" w:hAnsi="Sylfaen" w:cs="Sylfaen"/>
          <w:sz w:val="22"/>
          <w:szCs w:val="22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 w:rsidRPr="006105B9">
        <w:rPr>
          <w:rFonts w:ascii="Sylfaen" w:hAnsi="Sylfaen" w:cs="Sylfaen"/>
          <w:sz w:val="22"/>
          <w:szCs w:val="22"/>
          <w:lang w:val="ka-GE"/>
        </w:rPr>
        <w:t>ცია -</w:t>
      </w:r>
      <w:r w:rsidRPr="006105B9">
        <w:rPr>
          <w:rFonts w:ascii="Sylfaen" w:hAnsi="Sylfaen" w:cs="Sylfaen"/>
          <w:sz w:val="22"/>
          <w:szCs w:val="22"/>
          <w:lang w:val="ka-GE"/>
        </w:rPr>
        <w:t xml:space="preserve"> მე-11 პუნქტით გათვალისწინებული წესით.</w:t>
      </w:r>
    </w:p>
    <w:p w14:paraId="5F16A402" w14:textId="77777777" w:rsidR="001846AF" w:rsidRPr="006105B9" w:rsidRDefault="001846AF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770F948" w14:textId="42118415" w:rsidR="00D023A8" w:rsidRPr="006105B9" w:rsidRDefault="00D023A8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52528051" w14:textId="77777777" w:rsidR="00D023A8" w:rsidRPr="006105B9" w:rsidRDefault="00D023A8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FAE7DCB" w14:textId="77777777" w:rsidR="00D023A8" w:rsidRPr="006105B9" w:rsidRDefault="00D023A8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0B168E25" w14:textId="77777777" w:rsidR="00D023A8" w:rsidRPr="006105B9" w:rsidRDefault="00D023A8" w:rsidP="001846AF">
      <w:pPr>
        <w:pStyle w:val="NormalWeb"/>
        <w:tabs>
          <w:tab w:val="left" w:pos="900"/>
        </w:tabs>
        <w:spacing w:before="45" w:beforeAutospacing="0" w:after="45" w:afterAutospacing="0"/>
        <w:ind w:left="45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ED2AA0F" w14:textId="77777777" w:rsidR="00A75CB1" w:rsidRPr="006105B9" w:rsidRDefault="00A75CB1" w:rsidP="00DC0E93">
      <w:pPr>
        <w:ind w:left="360"/>
        <w:rPr>
          <w:rFonts w:ascii="Sylfaen" w:hAnsi="Sylfaen" w:cs="Sylfaen"/>
          <w:b/>
          <w:lang w:val="ka-GE"/>
        </w:rPr>
      </w:pPr>
    </w:p>
    <w:p w14:paraId="67493E36" w14:textId="3CAF1D47" w:rsidR="00E53164" w:rsidRPr="006105B9" w:rsidRDefault="00B23EF5" w:rsidP="00DC0E93">
      <w:pPr>
        <w:ind w:left="360"/>
        <w:rPr>
          <w:rFonts w:ascii="Sylfaen" w:hAnsi="Sylfaen" w:cs="Sylfaen"/>
          <w:b/>
          <w:lang w:val="ka-GE"/>
        </w:rPr>
      </w:pPr>
      <w:r w:rsidRPr="006105B9">
        <w:rPr>
          <w:rFonts w:ascii="Sylfaen" w:hAnsi="Sylfaen" w:cs="Sylfaen"/>
          <w:b/>
          <w:lang w:val="ka-GE"/>
        </w:rPr>
        <w:t xml:space="preserve">13. </w:t>
      </w:r>
      <w:r w:rsidR="00DE1B9C" w:rsidRPr="006105B9">
        <w:rPr>
          <w:rFonts w:ascii="Sylfaen" w:hAnsi="Sylfaen" w:cs="Sylfaen"/>
          <w:b/>
          <w:lang w:val="ka-GE"/>
        </w:rPr>
        <w:t xml:space="preserve">ჩარჩო დოკუმენტის შემუშავების </w:t>
      </w:r>
      <w:r w:rsidR="00010BB7" w:rsidRPr="006105B9">
        <w:rPr>
          <w:rFonts w:ascii="Sylfaen" w:hAnsi="Sylfaen" w:cs="Sylfaen"/>
          <w:b/>
          <w:lang w:val="ka-GE"/>
        </w:rPr>
        <w:t>სამართლებრივი საფუძვლები</w:t>
      </w:r>
    </w:p>
    <w:p w14:paraId="7FE47CC6" w14:textId="2CDE1DD8" w:rsidR="00E53164" w:rsidRPr="006105B9" w:rsidRDefault="00E53164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lang w:val="ka-GE"/>
        </w:rPr>
        <w:t xml:space="preserve">საქართველოს კანონი </w:t>
      </w:r>
      <w:r w:rsidR="00F65C04" w:rsidRPr="006105B9">
        <w:rPr>
          <w:rFonts w:ascii="Sylfaen" w:hAnsi="Sylfaen" w:cs="Sylfaen"/>
          <w:lang w:val="ka-GE"/>
        </w:rPr>
        <w:t>- „</w:t>
      </w:r>
      <w:r w:rsidRPr="006105B9">
        <w:rPr>
          <w:rFonts w:ascii="Sylfaen" w:hAnsi="Sylfaen" w:cs="Sylfaen"/>
          <w:lang w:val="ka-GE"/>
        </w:rPr>
        <w:t>პროფესიული განათლების შესახებ</w:t>
      </w:r>
      <w:r w:rsidR="00F65C04" w:rsidRPr="006105B9">
        <w:rPr>
          <w:rFonts w:ascii="Sylfaen" w:hAnsi="Sylfaen" w:cs="Sylfaen"/>
          <w:lang w:val="ka-GE"/>
        </w:rPr>
        <w:t>“</w:t>
      </w:r>
    </w:p>
    <w:p w14:paraId="7B93ABFE" w14:textId="77777777" w:rsidR="00E53164" w:rsidRPr="006105B9" w:rsidRDefault="00E53164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lang w:val="ka-GE"/>
        </w:rPr>
        <w:t>ეროვნული საკვალიფიკაციო ჩარჩო</w:t>
      </w:r>
    </w:p>
    <w:p w14:paraId="5F63BC21" w14:textId="1035265E" w:rsidR="00D41495" w:rsidRPr="006105B9" w:rsidRDefault="00D41495" w:rsidP="00D023A8">
      <w:pPr>
        <w:tabs>
          <w:tab w:val="left" w:pos="540"/>
        </w:tabs>
        <w:ind w:left="360"/>
        <w:jc w:val="both"/>
        <w:rPr>
          <w:rFonts w:ascii="Sylfaen" w:hAnsi="Sylfaen" w:cs="Sylfaen"/>
          <w:lang w:val="ka-GE"/>
        </w:rPr>
      </w:pPr>
      <w:r w:rsidRPr="006105B9">
        <w:rPr>
          <w:rFonts w:ascii="Sylfaen" w:hAnsi="Sylfaen" w:cs="Sylfaen"/>
          <w:lang w:val="ka-GE"/>
        </w:rPr>
        <w:t>პროფესიული სტანდარტი/სტანდარტები</w:t>
      </w:r>
    </w:p>
    <w:p w14:paraId="2E93173B" w14:textId="77777777" w:rsidR="00E53164" w:rsidRPr="006105B9" w:rsidRDefault="00E53164" w:rsidP="00F65C04">
      <w:pPr>
        <w:pStyle w:val="ListParagraph"/>
        <w:tabs>
          <w:tab w:val="left" w:pos="990"/>
        </w:tabs>
        <w:ind w:left="360"/>
        <w:jc w:val="both"/>
        <w:rPr>
          <w:rFonts w:ascii="Sylfaen" w:hAnsi="Sylfaen" w:cs="Sylfaen"/>
          <w:lang w:val="ka-GE"/>
        </w:rPr>
      </w:pPr>
    </w:p>
    <w:p w14:paraId="272EB035" w14:textId="5E118765" w:rsidR="00010BB7" w:rsidRPr="006105B9" w:rsidRDefault="00B23EF5" w:rsidP="00DC0E93">
      <w:pPr>
        <w:spacing w:after="120"/>
        <w:ind w:left="360"/>
        <w:jc w:val="both"/>
        <w:rPr>
          <w:rFonts w:ascii="Sylfaen" w:hAnsi="Sylfaen" w:cs="Arial"/>
          <w:b/>
          <w:lang w:val="ka-GE"/>
        </w:rPr>
      </w:pPr>
      <w:r w:rsidRPr="006105B9">
        <w:rPr>
          <w:rFonts w:ascii="Sylfaen" w:hAnsi="Sylfaen" w:cs="Arial"/>
          <w:b/>
          <w:lang w:val="ka-GE"/>
        </w:rPr>
        <w:t xml:space="preserve">14. </w:t>
      </w:r>
      <w:r w:rsidR="00010BB7" w:rsidRPr="006105B9">
        <w:rPr>
          <w:rFonts w:ascii="Sylfaen" w:hAnsi="Sylfaen" w:cs="Arial"/>
          <w:b/>
          <w:lang w:val="ka-GE"/>
        </w:rPr>
        <w:t>საავტორო უფლებები</w:t>
      </w:r>
    </w:p>
    <w:p w14:paraId="601412F3" w14:textId="53B4A58F" w:rsidR="00E53164" w:rsidRPr="006105B9" w:rsidRDefault="00E53164" w:rsidP="00B23EF5">
      <w:pPr>
        <w:pStyle w:val="ListParagraph"/>
        <w:spacing w:after="120"/>
        <w:ind w:left="360"/>
        <w:jc w:val="both"/>
        <w:rPr>
          <w:rFonts w:ascii="Sylfaen" w:hAnsi="Sylfaen"/>
          <w:lang w:val="ka-GE"/>
        </w:rPr>
      </w:pPr>
      <w:r w:rsidRPr="006105B9">
        <w:rPr>
          <w:rFonts w:ascii="Sylfaen" w:hAnsi="Sylfaen" w:cs="Arial"/>
          <w:lang w:val="ka-GE"/>
        </w:rPr>
        <w:t>სსიპ - განათლების ხარისხის განვითარების ეროვნული ცენტრი</w:t>
      </w:r>
    </w:p>
    <w:sectPr w:rsidR="00E53164" w:rsidRPr="006105B9" w:rsidSect="007A4372">
      <w:headerReference w:type="default" r:id="rId11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3FDA" w14:textId="77777777" w:rsidR="00D36343" w:rsidRDefault="00D36343" w:rsidP="007A4B6C">
      <w:pPr>
        <w:spacing w:after="0" w:line="240" w:lineRule="auto"/>
      </w:pPr>
      <w:r>
        <w:separator/>
      </w:r>
    </w:p>
  </w:endnote>
  <w:endnote w:type="continuationSeparator" w:id="0">
    <w:p w14:paraId="6168927F" w14:textId="77777777" w:rsidR="00D36343" w:rsidRDefault="00D36343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9D9C" w14:textId="77777777" w:rsidR="00D36343" w:rsidRDefault="00D36343" w:rsidP="007A4B6C">
      <w:pPr>
        <w:spacing w:after="0" w:line="240" w:lineRule="auto"/>
      </w:pPr>
      <w:r>
        <w:separator/>
      </w:r>
    </w:p>
  </w:footnote>
  <w:footnote w:type="continuationSeparator" w:id="0">
    <w:p w14:paraId="19C9E20F" w14:textId="77777777" w:rsidR="00D36343" w:rsidRDefault="00D36343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A47F" w14:textId="6811996F" w:rsidR="007A4B6C" w:rsidRPr="007A4B6C" w:rsidRDefault="007A4B6C" w:rsidP="007A4B6C">
    <w:pPr>
      <w:pStyle w:val="Header"/>
      <w:jc w:val="center"/>
      <w:rPr>
        <w:rFonts w:ascii="Sylfaen" w:hAnsi="Sylfaen"/>
        <w:b/>
        <w:lang w:val="ka-GE"/>
      </w:rPr>
    </w:pPr>
    <w:r w:rsidRPr="007A4B6C">
      <w:rPr>
        <w:rFonts w:ascii="Sylfaen" w:hAnsi="Sylfaen"/>
        <w:b/>
        <w:lang w:val="ka-GE"/>
      </w:rPr>
      <w:t xml:space="preserve">დანართი </w:t>
    </w:r>
    <w:r w:rsidRPr="007A4B6C">
      <w:rPr>
        <w:rFonts w:ascii="Sylfaen" w:hAnsi="Sylfaen"/>
        <w:b/>
        <w:lang w:val="ru-RU"/>
      </w:rPr>
      <w:t>№</w:t>
    </w:r>
    <w:r w:rsidRPr="007A4B6C">
      <w:rPr>
        <w:rFonts w:ascii="Sylfaen" w:hAnsi="Sylfaen"/>
        <w:b/>
        <w:lang w:val="ka-G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10BB7"/>
    <w:rsid w:val="000124DD"/>
    <w:rsid w:val="000131E8"/>
    <w:rsid w:val="00023E17"/>
    <w:rsid w:val="00060602"/>
    <w:rsid w:val="000F0D3E"/>
    <w:rsid w:val="00135483"/>
    <w:rsid w:val="001846AF"/>
    <w:rsid w:val="00260F82"/>
    <w:rsid w:val="00261F93"/>
    <w:rsid w:val="0026617B"/>
    <w:rsid w:val="003A50AA"/>
    <w:rsid w:val="003E59CC"/>
    <w:rsid w:val="0041132C"/>
    <w:rsid w:val="004248C1"/>
    <w:rsid w:val="0045433F"/>
    <w:rsid w:val="00480AB2"/>
    <w:rsid w:val="004A49EE"/>
    <w:rsid w:val="00596325"/>
    <w:rsid w:val="005C6BE0"/>
    <w:rsid w:val="005C709C"/>
    <w:rsid w:val="006105B9"/>
    <w:rsid w:val="00626E4A"/>
    <w:rsid w:val="00745225"/>
    <w:rsid w:val="007A4372"/>
    <w:rsid w:val="007A4B6C"/>
    <w:rsid w:val="00874D6C"/>
    <w:rsid w:val="008872C9"/>
    <w:rsid w:val="008B49F4"/>
    <w:rsid w:val="008D6004"/>
    <w:rsid w:val="00940D2C"/>
    <w:rsid w:val="0097770B"/>
    <w:rsid w:val="00996F8A"/>
    <w:rsid w:val="009A5A18"/>
    <w:rsid w:val="009E7FCE"/>
    <w:rsid w:val="00A173C0"/>
    <w:rsid w:val="00A63F98"/>
    <w:rsid w:val="00A75CB1"/>
    <w:rsid w:val="00AF3849"/>
    <w:rsid w:val="00B23EF5"/>
    <w:rsid w:val="00B43B42"/>
    <w:rsid w:val="00B774BB"/>
    <w:rsid w:val="00BE61EF"/>
    <w:rsid w:val="00C41C50"/>
    <w:rsid w:val="00C4468F"/>
    <w:rsid w:val="00C66F84"/>
    <w:rsid w:val="00CA6E27"/>
    <w:rsid w:val="00D023A8"/>
    <w:rsid w:val="00D27A7B"/>
    <w:rsid w:val="00D36343"/>
    <w:rsid w:val="00D36D53"/>
    <w:rsid w:val="00D41495"/>
    <w:rsid w:val="00D57CD0"/>
    <w:rsid w:val="00DA691B"/>
    <w:rsid w:val="00DC0E93"/>
    <w:rsid w:val="00DE1B9C"/>
    <w:rsid w:val="00E4190D"/>
    <w:rsid w:val="00E53164"/>
    <w:rsid w:val="00E95874"/>
    <w:rsid w:val="00F573AA"/>
    <w:rsid w:val="00F65C04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180791B4-14D0-4AA5-A760-082C99D9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0F03A-D369-4DB5-82A4-37470E35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Tamar Rukhadze</cp:lastModifiedBy>
  <cp:revision>19</cp:revision>
  <dcterms:created xsi:type="dcterms:W3CDTF">2016-08-02T10:07:00Z</dcterms:created>
  <dcterms:modified xsi:type="dcterms:W3CDTF">2018-04-19T13:38:00Z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