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500748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500748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500748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500748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500748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500748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500748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500748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00748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00748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00748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500748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500748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500748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500748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500748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500748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500748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500748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500748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500748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500748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500748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500748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1. </w:t>
                  </w: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50074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00748">
                    <w:rPr>
                      <w:rFonts w:ascii="Sylfaen" w:hAnsi="Sylfaen" w:cs="Sylfaen"/>
                      <w:b/>
                      <w:bCs/>
                      <w:noProof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500748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1648BAC4" w:rsidR="00DD5201" w:rsidRPr="00500748" w:rsidRDefault="00500748" w:rsidP="00500748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საშუალო პროფესიული</w:t>
                  </w:r>
                  <w:r w:rsidRPr="00500748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კვალიფიკაცია </w:t>
                  </w:r>
                  <w:r w:rsidRPr="00500748">
                    <w:rPr>
                      <w:rFonts w:ascii="Sylfaen" w:hAnsi="Sylfaen"/>
                      <w:color w:val="000000"/>
                      <w:sz w:val="20"/>
                      <w:szCs w:val="20"/>
                      <w:shd w:val="clear" w:color="auto" w:fill="FFFFFF"/>
                      <w:lang w:val="ka-GE"/>
                    </w:rPr>
                    <w:t>მებაღეობაში</w:t>
                  </w:r>
                  <w:r w:rsidRPr="0050074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1163F0" w:rsidRPr="00500748">
                    <w:rPr>
                      <w:rFonts w:ascii="Sylfaen" w:hAnsi="Sylfaen" w:cs="Sylfaen"/>
                      <w:b/>
                      <w:bCs/>
                      <w:noProof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500748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500748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500748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00748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500748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500748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500748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</w:t>
                  </w: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სახელწოდება </w:t>
                  </w:r>
                  <w:r w:rsidRPr="0050074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00748">
                    <w:rPr>
                      <w:rFonts w:ascii="Sylfaen" w:hAnsi="Sylfaen" w:cs="Sylfaen"/>
                      <w:b/>
                      <w:bCs/>
                      <w:noProof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500748" w14:paraId="2F1D0D00" w14:textId="77777777" w:rsidTr="003D524C">
              <w:trPr>
                <w:trHeight w:val="332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7283A151" w:rsidR="00DD5201" w:rsidRPr="00500748" w:rsidRDefault="00500748" w:rsidP="00500748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hAnsi="Sylfaen"/>
                      <w:color w:val="222222"/>
                      <w:sz w:val="20"/>
                      <w:szCs w:val="20"/>
                      <w:shd w:val="clear" w:color="auto" w:fill="FFFFFF"/>
                      <w:lang w:val="ka-GE"/>
                    </w:rPr>
                    <w:t xml:space="preserve">Secondary Vocational Qualification in </w:t>
                  </w:r>
                  <w:r w:rsidRPr="0050074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 xml:space="preserve">Horticulture </w:t>
                  </w:r>
                  <w:r w:rsidR="00EE686E" w:rsidRPr="00500748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500748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500748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16"/>
                      <w:szCs w:val="16"/>
                      <w:lang w:val="ka-GE"/>
                    </w:rPr>
                  </w:pPr>
                  <w:r w:rsidRPr="00500748">
                    <w:rPr>
                      <w:rFonts w:ascii="Times New Roman" w:eastAsia="Times New Roman" w:hAnsi="Times New Roman" w:cs="Times New Roman"/>
                      <w:noProof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00748">
                    <w:rPr>
                      <w:rFonts w:ascii="Sylfaen" w:hAnsi="Sylfaen" w:cs="Sylfaen"/>
                      <w:noProof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500748">
                    <w:rPr>
                      <w:rFonts w:ascii="Sylfaen" w:eastAsia="Times New Roman" w:hAnsi="Sylfaen" w:cs="Sylfaen"/>
                      <w:noProof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500748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500748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3. </w:t>
                  </w: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500748" w14:paraId="7C92F8C4" w14:textId="77777777" w:rsidTr="00515957">
              <w:trPr>
                <w:trHeight w:val="2726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500748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199A580E" w14:textId="77777777" w:rsidR="000F7290" w:rsidRPr="000F7290" w:rsidRDefault="000F7290" w:rsidP="000F72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0F7290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1.  განსაზღვროს ბაღში ჩასატარებელი აგროტექნიკური ღონისძიებები</w:t>
                  </w:r>
                </w:p>
                <w:p w14:paraId="5130E036" w14:textId="77777777" w:rsidR="000F7290" w:rsidRPr="000F7290" w:rsidRDefault="000F7290" w:rsidP="000F72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0F7290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2.  მოახდინოს  ნიადაგისა და მცენარეების  იდენტიფიცირება</w:t>
                  </w:r>
                </w:p>
                <w:p w14:paraId="5B164A43" w14:textId="77777777" w:rsidR="000F7290" w:rsidRPr="000F7290" w:rsidRDefault="000F7290" w:rsidP="000F72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0F7290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3.  დაადგინოს დეკორატიულ მცენარეთა მავნე ორგანიზმების სახეები</w:t>
                  </w:r>
                </w:p>
                <w:p w14:paraId="012BD398" w14:textId="77777777" w:rsidR="000F7290" w:rsidRPr="000F7290" w:rsidRDefault="000F7290" w:rsidP="000F72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0F7290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4.  შეასრულოს წინასაპროექტო სამუშაოები</w:t>
                  </w:r>
                </w:p>
                <w:p w14:paraId="09612D3D" w14:textId="77777777" w:rsidR="000F7290" w:rsidRPr="000F7290" w:rsidRDefault="000F7290" w:rsidP="000F72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0F7290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5.  დაგეგმოს ბაღის საინჟინრო და  მხატვრული  ელემენტები</w:t>
                  </w:r>
                </w:p>
                <w:p w14:paraId="64CBE166" w14:textId="7011276B" w:rsidR="00DD5201" w:rsidRPr="00500748" w:rsidRDefault="000F7290" w:rsidP="000F72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0F7290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6.  კომპიუტერული გრაფიკული პროგრამების გამოყენებით შექმნას ბაღის პროექტი.</w:t>
                  </w:r>
                </w:p>
              </w:tc>
            </w:tr>
            <w:tr w:rsidR="00DD5201" w:rsidRPr="00500748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500748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500748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7C37316B" w14:textId="77777777" w:rsidR="000F7290" w:rsidRPr="000F7290" w:rsidRDefault="000F7290" w:rsidP="0051247C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5F73A6">
                    <w:rPr>
                      <w:rFonts w:ascii="Sylfaen" w:hAnsi="Sylfaen" w:cs="Sylfaen"/>
                      <w:lang w:val="ka-GE"/>
                    </w:rPr>
                    <w:t>ბაღის დიზაინერი</w:t>
                  </w:r>
                </w:p>
                <w:p w14:paraId="1F6BC631" w14:textId="6C6FE2E2" w:rsidR="00F64A1F" w:rsidRPr="00500748" w:rsidRDefault="000F7290" w:rsidP="0051247C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5F73A6">
                    <w:rPr>
                      <w:rFonts w:ascii="Sylfaen" w:hAnsi="Sylfaen" w:cs="Sylfaen"/>
                      <w:lang w:val="ka-GE"/>
                    </w:rPr>
                    <w:t>ბაღის დიზაინის გრაფიკოსი</w:t>
                  </w:r>
                  <w:bookmarkStart w:id="0" w:name="_GoBack"/>
                  <w:bookmarkEnd w:id="0"/>
                </w:p>
              </w:tc>
            </w:tr>
            <w:tr w:rsidR="00DD5201" w:rsidRPr="00500748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0074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0074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50074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500748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500748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500748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500748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500748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500748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Pr="00500748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500748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500748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500748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500748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500748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50074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500748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50074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50074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50074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50074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50074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50074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50074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50074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500748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500748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500748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auto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/>
                      <w:noProof/>
                      <w:color w:val="auto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500748">
                    <w:rPr>
                      <w:rFonts w:ascii="Sylfaen" w:eastAsia="Times New Roman" w:hAnsi="Sylfaen" w:cs="Sylfaen"/>
                      <w:b/>
                      <w:noProof/>
                      <w:color w:val="aut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7B704469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r w:rsidR="00500748"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მეოთხე</w:t>
                  </w:r>
                  <w:r w:rsidR="0071603F"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500748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3F61D3CF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განათლების საერთაშორისო სტანდარტული კლასიფიკატორი – ISCED 2011 </w:t>
                  </w:r>
                  <w:bookmarkEnd w:id="1"/>
                  <w:r w:rsidR="0071603F"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500748"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500748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500748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50074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50074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50074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50074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50074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50074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50074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50074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50074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50074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500748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500748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500748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500748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500748" w:rsidRDefault="006A095B" w:rsidP="0008141B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500748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500748" w:rsidRDefault="006A095B" w:rsidP="0008141B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500748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500748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500748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500748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7A1A2283" w14:textId="77777777" w:rsidR="00500748" w:rsidRPr="00500748" w:rsidRDefault="00500748" w:rsidP="00500748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540"/>
                    </w:tabs>
                    <w:spacing w:line="276" w:lineRule="auto"/>
                    <w:ind w:left="540" w:firstLine="0"/>
                    <w:jc w:val="both"/>
                    <w:rPr>
                      <w:rFonts w:ascii="Sylfaen" w:eastAsiaTheme="minorHAnsi" w:hAnsi="Sylfaen"/>
                      <w:lang w:val="ka-GE"/>
                    </w:rPr>
                  </w:pPr>
                  <w:r w:rsidRPr="00500748">
                    <w:rPr>
                      <w:rFonts w:ascii="Sylfaen" w:eastAsiaTheme="minorHAnsi" w:hAnsi="Sylfaen"/>
                      <w:lang w:val="ka-GE"/>
                    </w:rPr>
                    <w:t>მებაღე</w:t>
                  </w:r>
                </w:p>
                <w:p w14:paraId="57AAEFBA" w14:textId="77777777" w:rsidR="00500748" w:rsidRPr="00500748" w:rsidRDefault="00500748" w:rsidP="00500748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540"/>
                    </w:tabs>
                    <w:spacing w:line="276" w:lineRule="auto"/>
                    <w:ind w:left="540" w:firstLine="0"/>
                    <w:jc w:val="both"/>
                    <w:rPr>
                      <w:rFonts w:ascii="Sylfaen" w:eastAsiaTheme="minorHAnsi" w:hAnsi="Sylfaen"/>
                      <w:lang w:val="ka-GE"/>
                    </w:rPr>
                  </w:pPr>
                  <w:r w:rsidRPr="00500748">
                    <w:rPr>
                      <w:rFonts w:ascii="Sylfaen" w:eastAsiaTheme="minorHAnsi" w:hAnsi="Sylfaen"/>
                      <w:lang w:val="ka-GE"/>
                    </w:rPr>
                    <w:t>ბაღის დიზაინერი</w:t>
                  </w:r>
                </w:p>
                <w:p w14:paraId="5DF02A21" w14:textId="35B2446B" w:rsidR="0037551B" w:rsidRPr="00500748" w:rsidRDefault="0037551B" w:rsidP="0008141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360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500748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00748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500748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500748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00748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500748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500748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500748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00748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500748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500748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500748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00748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0074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50074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500748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500748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500748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500748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500748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569C7377" w:rsidR="00273307" w:rsidRPr="00500748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500748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500748"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  <w:r w:rsidR="006A095B"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1623F23F" w14:textId="513C8AC6" w:rsidR="007F45B1" w:rsidRPr="00500748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500748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500748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500748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500748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500748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500748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500748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500748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500748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50074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50074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500748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500748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500748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500748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500748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500748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86FBE"/>
    <w:multiLevelType w:val="hybridMultilevel"/>
    <w:tmpl w:val="54BE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72BB3"/>
    <w:multiLevelType w:val="hybridMultilevel"/>
    <w:tmpl w:val="5B403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0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E08D9"/>
    <w:multiLevelType w:val="hybridMultilevel"/>
    <w:tmpl w:val="599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0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3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31"/>
  </w:num>
  <w:num w:numId="4">
    <w:abstractNumId w:val="32"/>
  </w:num>
  <w:num w:numId="5">
    <w:abstractNumId w:val="19"/>
  </w:num>
  <w:num w:numId="6">
    <w:abstractNumId w:val="0"/>
  </w:num>
  <w:num w:numId="7">
    <w:abstractNumId w:val="1"/>
  </w:num>
  <w:num w:numId="8">
    <w:abstractNumId w:val="33"/>
  </w:num>
  <w:num w:numId="9">
    <w:abstractNumId w:val="22"/>
  </w:num>
  <w:num w:numId="10">
    <w:abstractNumId w:val="14"/>
  </w:num>
  <w:num w:numId="11">
    <w:abstractNumId w:val="37"/>
  </w:num>
  <w:num w:numId="12">
    <w:abstractNumId w:val="21"/>
  </w:num>
  <w:num w:numId="13">
    <w:abstractNumId w:val="20"/>
  </w:num>
  <w:num w:numId="14">
    <w:abstractNumId w:val="4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8"/>
  </w:num>
  <w:num w:numId="19">
    <w:abstractNumId w:val="3"/>
  </w:num>
  <w:num w:numId="20">
    <w:abstractNumId w:val="24"/>
  </w:num>
  <w:num w:numId="21">
    <w:abstractNumId w:val="13"/>
  </w:num>
  <w:num w:numId="22">
    <w:abstractNumId w:val="7"/>
  </w:num>
  <w:num w:numId="23">
    <w:abstractNumId w:val="5"/>
  </w:num>
  <w:num w:numId="24">
    <w:abstractNumId w:val="2"/>
  </w:num>
  <w:num w:numId="25">
    <w:abstractNumId w:val="30"/>
  </w:num>
  <w:num w:numId="26">
    <w:abstractNumId w:val="36"/>
  </w:num>
  <w:num w:numId="27">
    <w:abstractNumId w:val="11"/>
  </w:num>
  <w:num w:numId="28">
    <w:abstractNumId w:val="9"/>
  </w:num>
  <w:num w:numId="29">
    <w:abstractNumId w:val="27"/>
  </w:num>
  <w:num w:numId="30">
    <w:abstractNumId w:val="16"/>
  </w:num>
  <w:num w:numId="31">
    <w:abstractNumId w:val="34"/>
  </w:num>
  <w:num w:numId="32">
    <w:abstractNumId w:val="8"/>
  </w:num>
  <w:num w:numId="33">
    <w:abstractNumId w:val="26"/>
  </w:num>
  <w:num w:numId="34">
    <w:abstractNumId w:val="15"/>
  </w:num>
  <w:num w:numId="35">
    <w:abstractNumId w:val="35"/>
  </w:num>
  <w:num w:numId="36">
    <w:abstractNumId w:val="23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141B"/>
    <w:rsid w:val="000846E3"/>
    <w:rsid w:val="000D369E"/>
    <w:rsid w:val="000D72C7"/>
    <w:rsid w:val="000E08E7"/>
    <w:rsid w:val="000E19C0"/>
    <w:rsid w:val="000E5A8E"/>
    <w:rsid w:val="000F7290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D524C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00748"/>
    <w:rsid w:val="0051247C"/>
    <w:rsid w:val="00515957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950D4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64A1F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8474-5BAF-45F1-B35A-54C18563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93</cp:revision>
  <dcterms:created xsi:type="dcterms:W3CDTF">2019-07-31T10:11:00Z</dcterms:created>
  <dcterms:modified xsi:type="dcterms:W3CDTF">2020-01-30T10:09:00Z</dcterms:modified>
</cp:coreProperties>
</file>