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AB4D6B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AB4D6B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AB4D6B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AB4D6B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AB4D6B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AB4D6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AB4D6B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AB4D6B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AB4D6B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AB4D6B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AB4D6B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AB4D6B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AB4D6B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AB4D6B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AB4D6B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AB4D6B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AB4D6B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AB4D6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AB4D6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AB4D6B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65099C95" w:rsidR="00DD5201" w:rsidRPr="00AB4D6B" w:rsidRDefault="00AB4D6B" w:rsidP="0031421B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/>
                      <w:bCs/>
                      <w:sz w:val="20"/>
                      <w:szCs w:val="20"/>
                      <w:shd w:val="clear" w:color="auto" w:fill="FFFFFF"/>
                      <w:lang w:val="ka-GE"/>
                    </w:rPr>
                    <w:t xml:space="preserve">უმაღლესი პროფესიული კვალიფიკაცია ბიომეურნეობაში </w:t>
                  </w:r>
                  <w:r w:rsidR="001163F0" w:rsidRPr="00AB4D6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AB4D6B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AB4D6B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AB4D6B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AB4D6B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AB4D6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AB4D6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AB4D6B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139C509" w:rsidR="00DD5201" w:rsidRPr="00AB4D6B" w:rsidRDefault="0097521A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AB4D6B">
                    <w:rPr>
                      <w:rFonts w:ascii="Sylfaen" w:hAnsi="Sylfaen"/>
                      <w:shd w:val="clear" w:color="auto" w:fill="FFFFFF"/>
                      <w:lang w:val="ka-GE"/>
                    </w:rPr>
                    <w:t xml:space="preserve"> </w:t>
                  </w:r>
                  <w:r w:rsidR="00AB4D6B" w:rsidRPr="00AB4D6B">
                    <w:rPr>
                      <w:rFonts w:ascii="Sylfaen" w:hAnsi="Sylfaen"/>
                      <w:shd w:val="clear" w:color="auto" w:fill="FFFFFF"/>
                      <w:lang w:val="ka-GE"/>
                    </w:rPr>
                    <w:t xml:space="preserve">Higher Vocational Qualification in Organic Farming </w:t>
                  </w:r>
                  <w:r w:rsidR="00EE686E" w:rsidRPr="00AB4D6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AB4D6B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AB4D6B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AB4D6B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AB4D6B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AB4D6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AB4D6B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577E09AA" w:rsidR="00D74EE0" w:rsidRPr="00AB4D6B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15543A80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დაგეგმოს და მართოს ბიომეურნეობა</w:t>
                  </w:r>
                </w:p>
                <w:p w14:paraId="5B54F4A6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მოაწყოს ბიომეცხოველეობის ფერმა</w:t>
                  </w:r>
                </w:p>
                <w:p w14:paraId="653A6E54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ბიო (ეკო, ორგანული) სოფლის მეურნეობის მეთოდებით მოაშენოს და მოუაროს სასოფლო-სამეურნეო ცხოველებს</w:t>
                  </w:r>
                </w:p>
                <w:p w14:paraId="0DA7672F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განახორციელოს ფრინველის მოვლა-მოშენება ბიოფერმაში</w:t>
                  </w:r>
                </w:p>
                <w:p w14:paraId="6A2E214E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დაგეგმოს ბიოსაფუტკრე და განახორციელოს ფუტკრის პროდუქტების ბიოწარმოება</w:t>
                  </w:r>
                </w:p>
                <w:p w14:paraId="06C0A620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დაგეგმოს ბიოტბორი</w:t>
                  </w:r>
                </w:p>
                <w:p w14:paraId="27B1C59C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განახორციელოს თევზის ბიოწარმოება</w:t>
                  </w:r>
                </w:p>
                <w:p w14:paraId="69F6BD0C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შეასრულოს ბიოსერტიფიცირების პროცედურები</w:t>
                  </w:r>
                </w:p>
                <w:p w14:paraId="39BF6B39" w14:textId="77777777" w:rsidR="006E0F28" w:rsidRPr="006E0F28" w:rsidRDefault="006E0F28" w:rsidP="006E0F28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6E0F2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განახორციელოს ბიოპროდუქციის რეალიზაცია.</w:t>
                  </w:r>
                  <w:bookmarkStart w:id="0" w:name="_GoBack"/>
                  <w:bookmarkEnd w:id="0"/>
                </w:p>
                <w:p w14:paraId="64CBE166" w14:textId="3CC8DB18" w:rsidR="00DD5201" w:rsidRPr="00AB4D6B" w:rsidRDefault="00DD5201" w:rsidP="00AB4D6B">
                  <w:p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AB4D6B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AB4D6B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AB4D6B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369C4974" w:rsidR="009D3041" w:rsidRPr="00AB4D6B" w:rsidRDefault="00AB4D6B" w:rsidP="00AB4D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 დასაქმდეს სხვადასხვა სახელმწიფო თუ კერძო ფერმერულ/ბიომეურნეობებში, სატყეო, მეთესლეობის და სანერგე მეურნეობებში, სოფლის მეურნეობის  საწარმოებში, ფერმერთა საკონსულტაციო-ექსტენციის ცენტრებში,  სხვადასხვა აგრო</w:t>
                  </w: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 xml:space="preserve"> და</w:t>
                  </w:r>
                  <w:r w:rsidRPr="00AB4D6B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 xml:space="preserve"> ბიოსერტიფიცირების </w:t>
                  </w: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ორგანიზაციებში</w:t>
                  </w:r>
                  <w:r w:rsidRPr="00AB4D6B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, ბოტანიკურ ბაღებში, ტყე-პარკებში, თვითდასაქმების ობიექტებში და სხვა. ასევე შეუძლია შექმნას კერძო ბიომეურნეობა  და აწარმოოს ბიოპროდუქცია</w:t>
                  </w:r>
                </w:p>
              </w:tc>
            </w:tr>
            <w:tr w:rsidR="00DD5201" w:rsidRPr="00AB4D6B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AB4D6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AB4D6B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0" w:history="1">
                    <w:r w:rsidR="0056281E" w:rsidRPr="00AB4D6B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1" w:history="1">
                    <w:r w:rsidR="0056281E" w:rsidRPr="00AB4D6B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AB4D6B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6CC9913F" w14:textId="77777777" w:rsidR="00335572" w:rsidRPr="00AB4D6B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AB4D6B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AB4D6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AB4D6B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AB4D6B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AB4D6B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AB4D6B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AB4D6B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AB4D6B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5DE99504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112713"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მეხუთე</w:t>
                  </w:r>
                  <w:r w:rsidR="0071603F"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AB4D6B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BD7EBDC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112713"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AB4D6B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AB4D6B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AB4D6B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AB4D6B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2F9C8E8A" w14:textId="13EF27A9" w:rsidR="00DD5201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  <w:p w14:paraId="58D14D98" w14:textId="77777777" w:rsidR="000D6DCA" w:rsidRDefault="000D6DCA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0ECB52D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IFOAM-ის სტანდარტები ბიოაგროწარმოებისა და გადამუშავებისათვის</w:t>
                  </w:r>
                </w:p>
                <w:p w14:paraId="59C12467" w14:textId="77777777" w:rsidR="000D6DCA" w:rsidRDefault="000D6DCA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74779B2D" w14:textId="241521DF" w:rsidR="000D6DCA" w:rsidRPr="00AB4D6B" w:rsidRDefault="000D6DCA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AB4D6B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AB4D6B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AB4D6B" w:rsidRDefault="0027537C" w:rsidP="007B336E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68D617C5" w:rsidR="0027537C" w:rsidRPr="00AB4D6B" w:rsidRDefault="0027537C" w:rsidP="007B336E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0E0360D" w14:textId="77777777" w:rsidR="000D6DCA" w:rsidRDefault="000D6DCA" w:rsidP="000D6D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</w:p>
                <w:p w14:paraId="785ACC4F" w14:textId="48BC29FE" w:rsidR="00FB77F6" w:rsidRPr="000D6DCA" w:rsidRDefault="00FB77F6" w:rsidP="000D6D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დარგის მარეგულირებელი აქტები </w:t>
                  </w:r>
                  <w:r w:rsidR="000D6DCA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და სტანდარტები </w:t>
                  </w:r>
                </w:p>
                <w:p w14:paraId="45723EEB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Arimo" w:hAnsi="Sylfaen" w:cs="Arimo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საქართველოს მთავრობის 2013 წლის N 198 დადგენილება  „ბიოწარმოების შესახებ“</w:t>
                  </w:r>
                </w:p>
                <w:p w14:paraId="4AE4A12D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ტექნიკური რეგლამენტი:</w:t>
                  </w:r>
                  <w:r w:rsidRPr="00E52E05">
                    <w:rPr>
                      <w:rFonts w:ascii="Sylfaen" w:eastAsia="Merriweather" w:hAnsi="Sylfaen" w:cs="Merriweather"/>
                      <w:b/>
                      <w:lang w:val="ka-GE"/>
                    </w:rPr>
                    <w:t xml:space="preserve"> </w:t>
                  </w:r>
                  <w:r w:rsidRPr="00E52E05">
                    <w:rPr>
                      <w:rFonts w:ascii="Sylfaen" w:eastAsia="Merriweather" w:hAnsi="Sylfaen" w:cs="Merriweather"/>
                      <w:b/>
                      <w:color w:val="333333"/>
                      <w:highlight w:val="white"/>
                      <w:lang w:val="ka-GE"/>
                    </w:rPr>
                    <w:t xml:space="preserve"> </w:t>
                  </w:r>
                  <w:r w:rsidRPr="00E52E05">
                    <w:rPr>
                      <w:rFonts w:ascii="Sylfaen" w:eastAsia="Arial Unicode MS" w:hAnsi="Sylfaen" w:cs="Arial Unicode MS"/>
                      <w:color w:val="333333"/>
                      <w:highlight w:val="white"/>
                      <w:lang w:val="ka-GE"/>
                    </w:rPr>
                    <w:t xml:space="preserve">„პესტიციდების და აგროქიმიკატების შენახვის, ტრანსპორტირების, რეალიზაციისა და გამოყენების წესები“ </w:t>
                  </w:r>
                </w:p>
                <w:p w14:paraId="40081317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color w:val="333333"/>
                      <w:highlight w:val="white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საქართველოს კოდექსი “სურსათის/ცხოველის საკვების უვნებლობის, ვეტერინარიისა და მცენარეთა დაცვის შესახებ“</w:t>
                  </w:r>
                </w:p>
                <w:p w14:paraId="10D127BC" w14:textId="75A3DACC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 xml:space="preserve">2015 წლის 10 ნოემბრის მთავრობის დადგენილება 577, სურსათის/ ცხოველის საკვების უვნებლობის, ვეტერინარიისა და მცენარეთა დაცვის სფეროებში მიკვლევადობის ზოგადი პრინციპები და მოთხოვნები </w:t>
                  </w:r>
                </w:p>
                <w:p w14:paraId="42EE0A9F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ბიოპროდუქციის წარმოების, გადამუშავების, ნიშანდების და გასაღების სტანდარტი “გრინ კავკაზუსი”</w:t>
                  </w:r>
                </w:p>
                <w:p w14:paraId="75820F6E" w14:textId="77777777" w:rsidR="000D6DCA" w:rsidRPr="00AB4D6B" w:rsidRDefault="000D6DCA" w:rsidP="000D6D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5E7145FE" w14:textId="3BE0775A" w:rsidR="007B336E" w:rsidRPr="00AB4D6B" w:rsidRDefault="0027537C" w:rsidP="007B336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5C55CDC5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მეცხოველე</w:t>
                  </w:r>
                </w:p>
                <w:p w14:paraId="62C3ECEF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მსხვილფეხა რქოსანი პირუტყვის ფერმის სპეციალისტი</w:t>
                  </w:r>
                </w:p>
                <w:p w14:paraId="11657C05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მეფუტკრე</w:t>
                  </w:r>
                </w:p>
                <w:p w14:paraId="7D539492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ფერმერი</w:t>
                  </w:r>
                </w:p>
                <w:p w14:paraId="0A778D31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მემცენარე</w:t>
                  </w:r>
                </w:p>
                <w:p w14:paraId="277056DC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მეხილე</w:t>
                  </w:r>
                </w:p>
                <w:p w14:paraId="1BC10965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მებაღე</w:t>
                  </w:r>
                </w:p>
                <w:p w14:paraId="57922881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 xml:space="preserve">მელიორატორი </w:t>
                  </w:r>
                </w:p>
                <w:p w14:paraId="1D28BB46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მცენარეთა დაცვის ტექნიკოსი</w:t>
                  </w:r>
                </w:p>
                <w:p w14:paraId="3EA5412D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მეაბრეშუმე</w:t>
                  </w:r>
                </w:p>
                <w:p w14:paraId="64C21F88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სანერგე მეურნეობის სპეციალისტი</w:t>
                  </w:r>
                </w:p>
                <w:p w14:paraId="5DF02A21" w14:textId="5C846706" w:rsidR="0037551B" w:rsidRPr="00AB4D6B" w:rsidRDefault="0037551B" w:rsidP="007B336E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</w:p>
              </w:tc>
            </w:tr>
            <w:tr w:rsidR="00DD5201" w:rsidRPr="00AB4D6B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AB4D6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 xml:space="preserve">6. </w:t>
                  </w:r>
                  <w:r w:rsidR="004C2361"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AB4D6B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AB4D6B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AB4D6B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AB4D6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AB4D6B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AB4D6B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AB4D6B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AB4D6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AB4D6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AB4D6B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AB4D6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AB4D6B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AB4D6B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AB4D6B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AB4D6B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AB4D6B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1403FA3" w:rsidR="00273307" w:rsidRPr="00AB4D6B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AB4D6B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FB77F6" w:rsidRPr="00AB4D6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AB4D6B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AB4D6B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AB4D6B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AB4D6B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AB4D6B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AB4D6B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AB4D6B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AB4D6B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2" w:history="1">
                    <w:r w:rsidR="004B3DBB" w:rsidRPr="00AB4D6B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AB4D6B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3" w:history="1">
                    <w:r w:rsidR="004B3DBB" w:rsidRPr="00AB4D6B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AB4D6B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AB4D6B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AB4D6B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AB4D6B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AB4D6B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A44C" w14:textId="77777777" w:rsidR="00733D28" w:rsidRDefault="00733D28" w:rsidP="000D6DCA">
      <w:pPr>
        <w:spacing w:after="0" w:line="240" w:lineRule="auto"/>
      </w:pPr>
      <w:r>
        <w:separator/>
      </w:r>
    </w:p>
  </w:endnote>
  <w:endnote w:type="continuationSeparator" w:id="0">
    <w:p w14:paraId="53805061" w14:textId="77777777" w:rsidR="00733D28" w:rsidRDefault="00733D28" w:rsidP="000D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Arim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D598F" w14:textId="77777777" w:rsidR="00733D28" w:rsidRDefault="00733D28" w:rsidP="000D6DCA">
      <w:pPr>
        <w:spacing w:after="0" w:line="240" w:lineRule="auto"/>
      </w:pPr>
      <w:r>
        <w:separator/>
      </w:r>
    </w:p>
  </w:footnote>
  <w:footnote w:type="continuationSeparator" w:id="0">
    <w:p w14:paraId="4823DB0A" w14:textId="77777777" w:rsidR="00733D28" w:rsidRDefault="00733D28" w:rsidP="000D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67E10"/>
    <w:multiLevelType w:val="hybridMultilevel"/>
    <w:tmpl w:val="F89C0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4D5E"/>
    <w:multiLevelType w:val="hybridMultilevel"/>
    <w:tmpl w:val="9C90CF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960DC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57C42"/>
    <w:multiLevelType w:val="hybridMultilevel"/>
    <w:tmpl w:val="74183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9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F4B31"/>
    <w:multiLevelType w:val="multilevel"/>
    <w:tmpl w:val="9A86A02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4B93B94"/>
    <w:multiLevelType w:val="hybridMultilevel"/>
    <w:tmpl w:val="96B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7"/>
  </w:num>
  <w:num w:numId="4">
    <w:abstractNumId w:val="38"/>
  </w:num>
  <w:num w:numId="5">
    <w:abstractNumId w:val="21"/>
  </w:num>
  <w:num w:numId="6">
    <w:abstractNumId w:val="0"/>
  </w:num>
  <w:num w:numId="7">
    <w:abstractNumId w:val="1"/>
  </w:num>
  <w:num w:numId="8">
    <w:abstractNumId w:val="39"/>
  </w:num>
  <w:num w:numId="9">
    <w:abstractNumId w:val="25"/>
  </w:num>
  <w:num w:numId="10">
    <w:abstractNumId w:val="15"/>
  </w:num>
  <w:num w:numId="11">
    <w:abstractNumId w:val="45"/>
  </w:num>
  <w:num w:numId="12">
    <w:abstractNumId w:val="24"/>
  </w:num>
  <w:num w:numId="13">
    <w:abstractNumId w:val="22"/>
  </w:num>
  <w:num w:numId="14">
    <w:abstractNumId w:val="5"/>
  </w:num>
  <w:num w:numId="15">
    <w:abstractNumId w:val="1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3"/>
  </w:num>
  <w:num w:numId="20">
    <w:abstractNumId w:val="27"/>
  </w:num>
  <w:num w:numId="21">
    <w:abstractNumId w:val="14"/>
  </w:num>
  <w:num w:numId="22">
    <w:abstractNumId w:val="7"/>
  </w:num>
  <w:num w:numId="23">
    <w:abstractNumId w:val="6"/>
  </w:num>
  <w:num w:numId="24">
    <w:abstractNumId w:val="2"/>
  </w:num>
  <w:num w:numId="25">
    <w:abstractNumId w:val="36"/>
  </w:num>
  <w:num w:numId="26">
    <w:abstractNumId w:val="44"/>
  </w:num>
  <w:num w:numId="27">
    <w:abstractNumId w:val="10"/>
  </w:num>
  <w:num w:numId="28">
    <w:abstractNumId w:val="9"/>
  </w:num>
  <w:num w:numId="29">
    <w:abstractNumId w:val="32"/>
  </w:num>
  <w:num w:numId="30">
    <w:abstractNumId w:val="17"/>
  </w:num>
  <w:num w:numId="31">
    <w:abstractNumId w:val="40"/>
  </w:num>
  <w:num w:numId="32">
    <w:abstractNumId w:val="8"/>
  </w:num>
  <w:num w:numId="33">
    <w:abstractNumId w:val="31"/>
  </w:num>
  <w:num w:numId="34">
    <w:abstractNumId w:val="16"/>
  </w:num>
  <w:num w:numId="35">
    <w:abstractNumId w:val="43"/>
  </w:num>
  <w:num w:numId="36">
    <w:abstractNumId w:val="23"/>
  </w:num>
  <w:num w:numId="37">
    <w:abstractNumId w:val="35"/>
  </w:num>
  <w:num w:numId="38">
    <w:abstractNumId w:val="4"/>
  </w:num>
  <w:num w:numId="39">
    <w:abstractNumId w:val="20"/>
  </w:num>
  <w:num w:numId="40">
    <w:abstractNumId w:val="28"/>
  </w:num>
  <w:num w:numId="41">
    <w:abstractNumId w:val="29"/>
  </w:num>
  <w:num w:numId="42">
    <w:abstractNumId w:val="26"/>
  </w:num>
  <w:num w:numId="43">
    <w:abstractNumId w:val="11"/>
  </w:num>
  <w:num w:numId="44">
    <w:abstractNumId w:val="41"/>
  </w:num>
  <w:num w:numId="45">
    <w:abstractNumId w:val="4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A2962"/>
    <w:rsid w:val="000D369E"/>
    <w:rsid w:val="000D6DCA"/>
    <w:rsid w:val="000D72C7"/>
    <w:rsid w:val="000E08E7"/>
    <w:rsid w:val="000E19C0"/>
    <w:rsid w:val="000E5A8E"/>
    <w:rsid w:val="00111EAC"/>
    <w:rsid w:val="00112713"/>
    <w:rsid w:val="001163F0"/>
    <w:rsid w:val="00134083"/>
    <w:rsid w:val="00175213"/>
    <w:rsid w:val="001935C5"/>
    <w:rsid w:val="001D3DCF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5F2C81"/>
    <w:rsid w:val="00602F63"/>
    <w:rsid w:val="006A095B"/>
    <w:rsid w:val="006D6E3E"/>
    <w:rsid w:val="006E0F28"/>
    <w:rsid w:val="006F7E58"/>
    <w:rsid w:val="0071603F"/>
    <w:rsid w:val="00727EBC"/>
    <w:rsid w:val="007302F5"/>
    <w:rsid w:val="00733D28"/>
    <w:rsid w:val="007435B7"/>
    <w:rsid w:val="00757E94"/>
    <w:rsid w:val="007B336E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7521A"/>
    <w:rsid w:val="00982EEF"/>
    <w:rsid w:val="0099073D"/>
    <w:rsid w:val="009D3041"/>
    <w:rsid w:val="009F0CA4"/>
    <w:rsid w:val="00A623D7"/>
    <w:rsid w:val="00A76443"/>
    <w:rsid w:val="00A944CF"/>
    <w:rsid w:val="00AB285B"/>
    <w:rsid w:val="00AB4D6B"/>
    <w:rsid w:val="00B024D8"/>
    <w:rsid w:val="00B25991"/>
    <w:rsid w:val="00B555D2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B77F6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DCA"/>
    <w:pPr>
      <w:autoSpaceDE/>
      <w:autoSpaceDN/>
      <w:adjustRightInd/>
      <w:spacing w:after="0" w:line="240" w:lineRule="auto"/>
    </w:pPr>
    <w:rPr>
      <w:rFonts w:eastAsia="Calibri"/>
      <w:sz w:val="20"/>
      <w:szCs w:val="20"/>
      <w:lang w:val="k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A"/>
    <w:rPr>
      <w:rFonts w:ascii="Calibri" w:eastAsia="Calibri" w:hAnsi="Calibri" w:cs="Calibri"/>
      <w:sz w:val="20"/>
      <w:szCs w:val="20"/>
      <w:lang w:val="ka"/>
    </w:rPr>
  </w:style>
  <w:style w:type="character" w:styleId="FootnoteReference">
    <w:name w:val="footnote reference"/>
    <w:basedOn w:val="DefaultParagraphFont"/>
    <w:uiPriority w:val="99"/>
    <w:semiHidden/>
    <w:unhideWhenUsed/>
    <w:rsid w:val="000D6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qe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e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2E4F-AE9A-4B1C-B329-DED6DE66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97</cp:revision>
  <dcterms:created xsi:type="dcterms:W3CDTF">2019-07-31T10:11:00Z</dcterms:created>
  <dcterms:modified xsi:type="dcterms:W3CDTF">2020-01-28T11:55:00Z</dcterms:modified>
</cp:coreProperties>
</file>